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F8" w:rsidRPr="00F72BEA" w:rsidRDefault="00DD1262">
      <w:pPr>
        <w:rPr>
          <w:rFonts w:ascii="TTBC0F9EC8t00" w:hAnsi="TTBC0F9EC8t00"/>
          <w:color w:val="0000FF"/>
          <w:sz w:val="16"/>
          <w:szCs w:val="16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-292100</wp:posOffset>
            </wp:positionV>
            <wp:extent cx="6113780" cy="520700"/>
            <wp:effectExtent l="19050" t="0" r="1270" b="0"/>
            <wp:wrapTight wrapText="bothSides">
              <wp:wrapPolygon edited="0">
                <wp:start x="-67" y="0"/>
                <wp:lineTo x="-67" y="20546"/>
                <wp:lineTo x="21604" y="20546"/>
                <wp:lineTo x="21604" y="0"/>
                <wp:lineTo x="-67" y="0"/>
              </wp:wrapPolygon>
            </wp:wrapTight>
            <wp:docPr id="3" name="Imagen 3" descr="cabec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bece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1F8" w:rsidRPr="00F72BEA" w:rsidRDefault="001111F8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0"/>
          <w:szCs w:val="20"/>
        </w:rPr>
      </w:pPr>
      <w:r w:rsidRPr="00F72BEA">
        <w:rPr>
          <w:rFonts w:ascii="Helvetica" w:hAnsi="Helvetica" w:cs="Helvetica"/>
          <w:color w:val="000000"/>
          <w:sz w:val="20"/>
          <w:szCs w:val="20"/>
        </w:rPr>
        <w:t>HOJA DE DATOS DE SEGURIDAD</w:t>
      </w:r>
    </w:p>
    <w:p w:rsidR="001111F8" w:rsidRPr="00F72BEA" w:rsidRDefault="001111F8">
      <w:pPr>
        <w:autoSpaceDE w:val="0"/>
        <w:autoSpaceDN w:val="0"/>
        <w:adjustRightInd w:val="0"/>
        <w:jc w:val="center"/>
        <w:rPr>
          <w:rFonts w:ascii="Helvetica" w:hAnsi="Helvetica" w:cs="Helvetica"/>
          <w:color w:val="808080"/>
          <w:sz w:val="16"/>
          <w:szCs w:val="16"/>
        </w:rPr>
      </w:pPr>
    </w:p>
    <w:p w:rsidR="001111F8" w:rsidRPr="00F72BEA" w:rsidRDefault="00D60DEB">
      <w:pPr>
        <w:pStyle w:val="Ttulo1"/>
      </w:pPr>
      <w:r w:rsidRPr="00F72BEA">
        <w:t xml:space="preserve">ACEITE DE </w:t>
      </w:r>
      <w:r w:rsidR="00AB4F07">
        <w:t>COC</w:t>
      </w:r>
      <w:r w:rsidRPr="00F72BEA">
        <w:t>O REFINADO</w:t>
      </w:r>
    </w:p>
    <w:p w:rsidR="00AB4F07" w:rsidRPr="00AB4F07" w:rsidRDefault="00AB4F07" w:rsidP="00AB4F0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AB4F07" w:rsidRPr="00AB4F07" w:rsidRDefault="00AB4F07" w:rsidP="00AB4F07">
      <w:pPr>
        <w:autoSpaceDE w:val="0"/>
        <w:autoSpaceDN w:val="0"/>
        <w:adjustRightInd w:val="0"/>
        <w:rPr>
          <w:rFonts w:ascii="Helvetica" w:hAnsi="Helvetica" w:cs="Helvetica"/>
        </w:rPr>
      </w:pPr>
      <w:r w:rsidRPr="00AB4F07">
        <w:rPr>
          <w:rFonts w:ascii="Helvetica" w:hAnsi="Helvetica" w:cs="Helvetica"/>
        </w:rPr>
        <w:t>Directiva 453/2010 CEE modificando la Directiva 91/155/CE. Reglamentación REACH CE 1907/2006.</w:t>
      </w:r>
    </w:p>
    <w:p w:rsidR="00AB4F07" w:rsidRPr="00AB4F07" w:rsidRDefault="00AB4F07" w:rsidP="00AB4F07">
      <w:pPr>
        <w:autoSpaceDE w:val="0"/>
        <w:autoSpaceDN w:val="0"/>
        <w:adjustRightInd w:val="0"/>
        <w:rPr>
          <w:rFonts w:ascii="Helvetica" w:hAnsi="Helvetica" w:cs="Helvetica"/>
        </w:rPr>
      </w:pPr>
      <w:r w:rsidRPr="00AB4F07">
        <w:rPr>
          <w:rFonts w:ascii="Helvetica" w:hAnsi="Helvetica" w:cs="Helvetica"/>
        </w:rPr>
        <w:t>Fecha de creación de esta hoja: 10/01/08</w:t>
      </w:r>
    </w:p>
    <w:p w:rsidR="00AB4F07" w:rsidRDefault="00AB4F07" w:rsidP="00AB4F07">
      <w:pPr>
        <w:autoSpaceDE w:val="0"/>
        <w:autoSpaceDN w:val="0"/>
        <w:adjustRightInd w:val="0"/>
        <w:rPr>
          <w:rFonts w:ascii="Helvetica" w:hAnsi="Helvetica" w:cs="Helvetica"/>
        </w:rPr>
      </w:pPr>
      <w:r w:rsidRPr="00AB4F07">
        <w:rPr>
          <w:rFonts w:ascii="Helvetica" w:hAnsi="Helvetica" w:cs="Helvetica"/>
        </w:rPr>
        <w:t>Fecha de revisión: 29/04/2013</w:t>
      </w:r>
    </w:p>
    <w:p w:rsidR="00AB4F07" w:rsidRPr="00AB4F07" w:rsidRDefault="00AB4F07" w:rsidP="00AB4F0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1. Identificación de la sustancia/preparado y de la empresa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1.1. Identificación: Aceite de Coco Refinado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Número de registro: este producto es conforme el Anexo V, parágrafo 9 de la Directiva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CE 1907/2006, y está exento de registro.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1.2 Uso: materia prima para productos cosméticos, farmacéuticos y alimentarios.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2. Identificación de los peligros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2.1. Clasificación acorde la Directiva (EC) nº 1272/2008 (CLP):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No clasificado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Clasificación acorde la Directiva 67/548/EEC o 1999/45/EC: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No clasificado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Efectos físico-químicos, salud humana y medio-ambiente: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No aplica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2.2. Elementos Etiqueta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Etiquetado acorde con la Directiva (EC) nº 1272/2008 (CLP):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No aplica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2.3. Otros peligros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Inhalación: no es peligroso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Contacto con la piel: no es peligroso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Ingestión: no es peligroso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Contacto con los ojos: no es peligroso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En caso de fuga son necesarios zapatos antideslizantes para prevenir caídas y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deslizamientos.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3. Composición / Información sobre los componentes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Composición química: triésteres de glicerina y ácidos grasos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Número CAS: 8001-31-8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AB4F07">
        <w:rPr>
          <w:rFonts w:ascii="Helvetica" w:hAnsi="Helvetica" w:cs="Helvetica"/>
          <w:color w:val="000000"/>
        </w:rPr>
        <w:t xml:space="preserve">Nombre y Número EINECS: </w:t>
      </w:r>
      <w:r w:rsidRPr="00AB4F0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Cocos Nucifera (coconut) oil </w:t>
      </w:r>
      <w:r w:rsidRPr="00AB4F07">
        <w:rPr>
          <w:rFonts w:ascii="Helvetica" w:hAnsi="Helvetica" w:cs="Helvetica"/>
          <w:color w:val="000000"/>
          <w:sz w:val="20"/>
          <w:szCs w:val="20"/>
        </w:rPr>
        <w:t>/ 232-282-8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4. Primeros auxilios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4.1. Descripción mesuras primeros auxilios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No es necesario un examen médico.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Inhalación: La inhalación no es una vía de exposición pertinente debido al aspecto físico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y composición del producto.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Contacto con la piel: lavar con agua y jabón las partes expuestas.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Contacto con los ojos: Enjuague los ojos con abundante agua y mantener párpados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abiertos.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lastRenderedPageBreak/>
        <w:t>Ingestión: si la persona está consciente enjuagar la boca con agua. No inducir el vómito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sin consejo médico.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4.2. Síntomas y efectos más importantes, agudos y retardados.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No hay información disponible.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4.3. Indicación de la atención médica y tratamientos especiales necesitados.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No hay información.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5. Medidas de lucha contra incendios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5.1. Medios de extinción: dióxido de carbono, espuma, polvo químico seco.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5.2. Medios de extinción inadecuados: agua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5.3. Equipo especial de protección: usar ropa de protección y un equipo de protección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respiratoria.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6. Medidas de derrame accidental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6.1. Precauciones personales: No se requieren precauciones especiales.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6.2. Precauciones medioambientales: Evitar descargar el producto en el agua potable,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aguas residuales o el suelo.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6.3. Métodos de limpieza: los pequeños derrames y residuos pueden absorberse con un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material como tela o serrín, lavar con agua y limpiar con productos sódicos.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Los derrames más grandes pueden ser bombeados.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7. Manipulación y almacenamiento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7.1. Manipulación: No se requieren precauciones especiales. Utilizar mangueras de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grado alimentario.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7.2. Almacenamiento: Conservar en un lugar fresco. Conservar en bidones o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contenedores originales llenos y cerrados para evitar una sobre oxidación.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7.3. Uso especial (s): No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8. Controles de la exposición y protección personal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No se requiere equipo especial de protección.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8.1. Límite de exposición profesional: no procede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8.2. Controles de la exposición: no aplicable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9. Datos físicos y propiedades químicas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9.1 Información general: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 Forma: ver ficha técnica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 Olor: ver ficha técnica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 Color: ver ficha técnica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9.2. Información importante sobre la salud, la seguridad y el medio ambiente: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 pH: no aplicable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 Punto de in</w:t>
      </w:r>
      <w:r>
        <w:rPr>
          <w:rFonts w:ascii="Helvetica" w:hAnsi="Helvetica" w:cs="Helvetica"/>
          <w:color w:val="000000"/>
        </w:rPr>
        <w:t>i</w:t>
      </w:r>
      <w:r w:rsidRPr="00AB4F07">
        <w:rPr>
          <w:rFonts w:ascii="Helvetica" w:hAnsi="Helvetica" w:cs="Helvetica"/>
          <w:color w:val="000000"/>
        </w:rPr>
        <w:t>cio de ebullición: no determinado.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 Punto de inflamación: 300º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 Presión de Vapor (a 20º): no determinado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 Presión de Vapor (a 50º): no determinado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 Densidad relativa: no determinada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 Solubilidad: ligeramente soluble en etanol (96%), miscible en éter de petróleo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 Viscosidad a 20 ° C: no determinada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 Log P octanol / agua a 20ºC: no determinado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9.3. Otra información: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lastRenderedPageBreak/>
        <w:t>- Punto de auto ignición: &gt; 300 º C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10. Estabilidad y reactividad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10.1. Reactividad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Estabilidad: estable en condiciones normales.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10.2. Estabilidad Química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El producto es estable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10.3. Posibilidad de reacciones peligrosas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No hay información disponible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10.4. Condiciones que deben evitarse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 xml:space="preserve">Calentar a más de 180 ° C (uso alimentario), a más de 60 º C (uso cosmético), </w:t>
      </w:r>
      <w:r>
        <w:rPr>
          <w:rFonts w:ascii="Helvetica" w:hAnsi="Helvetica" w:cs="Helvetica"/>
          <w:color w:val="000000"/>
        </w:rPr>
        <w:t>l</w:t>
      </w:r>
      <w:r w:rsidRPr="00AB4F07">
        <w:rPr>
          <w:rFonts w:ascii="Helvetica" w:hAnsi="Helvetica" w:cs="Helvetica"/>
          <w:color w:val="000000"/>
        </w:rPr>
        <w:t>uz y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oxígeno del aire: degradación y oxidación de la sustancia.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10.5. Materiales incompatibles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No hay información disponible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10.6. Materiales de descomposición peligrosos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No hay información disponible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11. Información toxicológica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Producto no tóxico: uso farmacéutico, cosmético y alimentario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Toxicidad Aguda: No hay que temer ninguna toxicidad aguda del producto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Toxicidad Crónica: No se consideran potenciales efectos crónicos para la salud.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Información sobre las vías probables de exposición: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-Inhalación: no hay efectos agudos conocidos en condiciones normales de uso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-Dermatológica: no hay efectos conocidos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-Contacto ocular: no hay efectos conocidos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-Ingestión: no hay efectos agudos conocidos en condiciones normales de uso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-CMR efectos (carcinogenicidad, mutagenicidad y toxicidad para la reproducción: no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cancerígeno, no mutagénico y no toxico para la reproducción.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12. Información ecológica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12.1. Toxicidad: ningún estudio se ha llevado a cabo por el momento. No hay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problemas ecológicos de esperar cuándo el producto se manipula y utiliza con el debido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cuidado y atención.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12.2. Degradabilidad: completamente biodegradable, pero rico en DBO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12.3. Bioacumilacón potencial: no hay información disponible.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12.4. Mobilidad: no hay información disponible.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12.5. Resultados de la valoración PBT y mPmB: no hay datos disponibles.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12.5. Efectos nocivos varios: no hay datos disponibles.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13. Consideraciones sobre la eliminación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13.1. Absorber el aceite con materiales tales como tela, papel o serrín y tirarlo en una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papelera apropiada.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La eliminación en la naturaleza: prohibido.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13.2. Eliminación de los residuos del producto: tirarlo en una papelera apropiada.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13.3. Residuos de embalaje: respete las normas locales.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14. Información relativa al transporte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Productos no peligrosos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lastRenderedPageBreak/>
        <w:t>Clasificación: No clasificado ADR (por carretera, Directiva 94/55/CE), RID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(ferroviario, Directiva 96/49/CE), IMDG (marítimo), ICAO/IATA (aire).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Transporte en bidones o tanques alimentarios.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15. Información reglamentaria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Clasificación de la UE 1272/2008 (CLP): producto clasificado cómo no peligroso, no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necesita de etiquetado especial.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Tipo de peligro para el agua: no peligroso para el agua.</w:t>
      </w:r>
    </w:p>
    <w:p w:rsid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</w:rPr>
      </w:pPr>
      <w:r w:rsidRPr="00AB4F07">
        <w:rPr>
          <w:rFonts w:ascii="Helvetica" w:hAnsi="Helvetica" w:cs="Helvetica"/>
          <w:b/>
          <w:bCs/>
          <w:color w:val="000000"/>
        </w:rPr>
        <w:t>16. Información adicional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Esta hoja de seguridad complementa la hoja de especificaciones, pero no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constituye una garantía de las propiedades del producto y no da lugar a ninguna relación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jurídica contractual. La información se da de buena fe sobre la base de nuestro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conocimiento del producto. Sin embargo, no podemos aceptar responsabilidad alguna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por cualquier consecuencia derivada de su uso.</w:t>
      </w:r>
    </w:p>
    <w:p w:rsidR="00AB4F07" w:rsidRPr="00AB4F07" w:rsidRDefault="00AB4F07" w:rsidP="00AB4F07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 w:rsidRPr="00AB4F07">
        <w:rPr>
          <w:rFonts w:ascii="Helvetica" w:hAnsi="Helvetica" w:cs="Helvetica"/>
          <w:color w:val="000000"/>
        </w:rPr>
        <w:t>Advertimos a los usuarios contra los posible riesgos incurridos cuando el producto se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utiliza con fines distintos a la utilización a que estaba previsto inicialmente.</w:t>
      </w:r>
    </w:p>
    <w:p w:rsidR="001111F8" w:rsidRPr="00AB4F07" w:rsidRDefault="00AB4F07" w:rsidP="00AB4F07">
      <w:pPr>
        <w:autoSpaceDE w:val="0"/>
        <w:autoSpaceDN w:val="0"/>
        <w:adjustRightInd w:val="0"/>
        <w:jc w:val="both"/>
        <w:rPr>
          <w:rStyle w:val="longtext"/>
          <w:rFonts w:ascii="Helvetica" w:hAnsi="Helvetica" w:cs="Helvetica"/>
          <w:b/>
          <w:bCs/>
        </w:rPr>
      </w:pPr>
      <w:r w:rsidRPr="00AB4F07">
        <w:rPr>
          <w:rFonts w:ascii="Helvetica" w:hAnsi="Helvetica" w:cs="Helvetica"/>
          <w:color w:val="000000"/>
        </w:rPr>
        <w:t>Es la responsabilidad del usuario durante el manipulación, el almacenamiento y el uso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del producto consultar los textos regulatorios a fin de proteger los trabajadores y el</w:t>
      </w:r>
      <w:r>
        <w:rPr>
          <w:rFonts w:ascii="Helvetica" w:hAnsi="Helvetica" w:cs="Helvetica"/>
          <w:color w:val="000000"/>
        </w:rPr>
        <w:t xml:space="preserve"> </w:t>
      </w:r>
      <w:r w:rsidRPr="00AB4F07">
        <w:rPr>
          <w:rFonts w:ascii="Helvetica" w:hAnsi="Helvetica" w:cs="Helvetica"/>
          <w:color w:val="000000"/>
        </w:rPr>
        <w:t>medio-ambiente.</w:t>
      </w:r>
    </w:p>
    <w:sectPr w:rsidR="001111F8" w:rsidRPr="00AB4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BC0F9E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noPunctuationKerning/>
  <w:characterSpacingControl w:val="doNotCompress"/>
  <w:compat/>
  <w:rsids>
    <w:rsidRoot w:val="00444B65"/>
    <w:rsid w:val="00042896"/>
    <w:rsid w:val="00073D38"/>
    <w:rsid w:val="001111F8"/>
    <w:rsid w:val="00116C38"/>
    <w:rsid w:val="00135923"/>
    <w:rsid w:val="00150DD4"/>
    <w:rsid w:val="001D601B"/>
    <w:rsid w:val="00223A75"/>
    <w:rsid w:val="002839F6"/>
    <w:rsid w:val="002D2CD9"/>
    <w:rsid w:val="002F2005"/>
    <w:rsid w:val="003F726F"/>
    <w:rsid w:val="00444B65"/>
    <w:rsid w:val="00444CD2"/>
    <w:rsid w:val="004D5744"/>
    <w:rsid w:val="005156A0"/>
    <w:rsid w:val="005A0CCB"/>
    <w:rsid w:val="005B3A60"/>
    <w:rsid w:val="005B4C10"/>
    <w:rsid w:val="006613E2"/>
    <w:rsid w:val="00722EBC"/>
    <w:rsid w:val="007723A6"/>
    <w:rsid w:val="007A1FDE"/>
    <w:rsid w:val="008B05F6"/>
    <w:rsid w:val="00936789"/>
    <w:rsid w:val="00962EB7"/>
    <w:rsid w:val="00A45503"/>
    <w:rsid w:val="00AB4F07"/>
    <w:rsid w:val="00AE63A5"/>
    <w:rsid w:val="00BA7CA4"/>
    <w:rsid w:val="00CB13FE"/>
    <w:rsid w:val="00CE6994"/>
    <w:rsid w:val="00D60DEB"/>
    <w:rsid w:val="00D8520A"/>
    <w:rsid w:val="00DD1262"/>
    <w:rsid w:val="00F15FF7"/>
    <w:rsid w:val="00F72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Helvetica-Bold" w:hAnsi="Helvetica-Bold"/>
      <w:b/>
      <w:bCs/>
      <w:color w:val="000000"/>
      <w:sz w:val="36"/>
      <w:szCs w:val="36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">
    <w:name w:val="long_text"/>
    <w:basedOn w:val="Fuentedeprrafopredeter"/>
  </w:style>
  <w:style w:type="paragraph" w:styleId="Textoindependiente">
    <w:name w:val="Body Text"/>
    <w:basedOn w:val="Normal"/>
    <w:semiHidden/>
    <w:pPr>
      <w:autoSpaceDE w:val="0"/>
      <w:autoSpaceDN w:val="0"/>
      <w:adjustRightInd w:val="0"/>
      <w:jc w:val="both"/>
    </w:pPr>
    <w:rPr>
      <w:rFonts w:ascii="Helvetica" w:hAnsi="Helvetica" w:cs="Helvetica"/>
      <w:color w:val="333333"/>
      <w:szCs w:val="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Montse</cp:lastModifiedBy>
  <cp:revision>2</cp:revision>
  <dcterms:created xsi:type="dcterms:W3CDTF">2013-11-19T08:34:00Z</dcterms:created>
  <dcterms:modified xsi:type="dcterms:W3CDTF">2013-11-19T08:34:00Z</dcterms:modified>
</cp:coreProperties>
</file>